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exact"/>
        <w:jc w:val="center"/>
        <w:rPr>
          <w:rFonts w:hint="default" w:ascii="方正小标宋简体" w:eastAsia="方正小标宋简体"/>
          <w:b/>
          <w:bCs/>
          <w:color w:val="auto"/>
          <w:sz w:val="44"/>
          <w:szCs w:val="44"/>
          <w:lang w:val="en-US" w:eastAsia="zh-CN"/>
        </w:rPr>
      </w:pPr>
      <w:r>
        <w:rPr>
          <w:rFonts w:hint="eastAsia" w:ascii="方正小标宋简体" w:eastAsia="方正小标宋简体"/>
          <w:b/>
          <w:bCs/>
          <w:color w:val="auto"/>
          <w:sz w:val="44"/>
          <w:szCs w:val="44"/>
          <w:lang w:val="en-US" w:eastAsia="zh-CN"/>
        </w:rPr>
        <w:t>XX单位</w:t>
      </w:r>
      <w:bookmarkStart w:id="0" w:name="_GoBack"/>
      <w:bookmarkEnd w:id="0"/>
    </w:p>
    <w:p>
      <w:pPr>
        <w:spacing w:line="720" w:lineRule="exact"/>
        <w:jc w:val="center"/>
        <w:rPr>
          <w:rFonts w:hint="eastAsia" w:ascii="方正小标宋简体" w:eastAsia="方正小标宋简体"/>
          <w:b/>
          <w:bCs/>
          <w:color w:val="auto"/>
          <w:sz w:val="44"/>
          <w:szCs w:val="44"/>
          <w:lang w:eastAsia="zh-CN"/>
        </w:rPr>
      </w:pPr>
      <w:r>
        <w:rPr>
          <w:rFonts w:hint="eastAsia" w:ascii="方正小标宋简体" w:eastAsia="方正小标宋简体"/>
          <w:b/>
          <w:bCs/>
          <w:color w:val="auto"/>
          <w:sz w:val="44"/>
          <w:szCs w:val="44"/>
        </w:rPr>
        <w:t>内部控制考核评价工作方案</w:t>
      </w:r>
      <w:r>
        <w:rPr>
          <w:rFonts w:hint="eastAsia" w:ascii="方正小标宋简体" w:eastAsia="方正小标宋简体"/>
          <w:b/>
          <w:bCs/>
          <w:color w:val="auto"/>
          <w:sz w:val="44"/>
          <w:szCs w:val="44"/>
          <w:lang w:eastAsia="zh-CN"/>
        </w:rPr>
        <w:t>与报告</w:t>
      </w:r>
    </w:p>
    <w:p>
      <w:pPr>
        <w:spacing w:line="560" w:lineRule="exact"/>
        <w:ind w:firstLine="640"/>
        <w:jc w:val="left"/>
        <w:rPr>
          <w:rFonts w:ascii="仿宋" w:hAnsi="仿宋" w:eastAsia="仿宋" w:cs="仿宋"/>
          <w:color w:val="auto"/>
          <w:sz w:val="32"/>
          <w:szCs w:val="32"/>
          <w:shd w:val="clear" w:color="auto" w:fill="FFFFFF"/>
          <w:lang w:bidi="ar"/>
        </w:rPr>
      </w:pPr>
    </w:p>
    <w:p>
      <w:pPr>
        <w:spacing w:line="560" w:lineRule="exact"/>
        <w:ind w:firstLine="64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根据</w:t>
      </w:r>
      <w:r>
        <w:rPr>
          <w:rFonts w:hint="eastAsia" w:ascii="仿宋_GB2312" w:hAnsi="仿宋" w:eastAsia="仿宋_GB2312" w:cs="仿宋"/>
          <w:color w:val="auto"/>
          <w:kern w:val="0"/>
          <w:sz w:val="32"/>
          <w:szCs w:val="32"/>
          <w:lang w:val="zh-CN" w:bidi="ar"/>
        </w:rPr>
        <w:t>《行政事业单位内部控制规范（评价期）》（</w:t>
      </w:r>
      <w:r>
        <w:rPr>
          <w:rFonts w:hint="eastAsia" w:ascii="仿宋_GB2312" w:hAnsi="仿宋" w:eastAsia="仿宋_GB2312" w:cs="仿宋"/>
          <w:color w:val="auto"/>
          <w:sz w:val="32"/>
          <w:szCs w:val="32"/>
          <w:shd w:val="clear" w:color="auto" w:fill="FFFFFF"/>
          <w:lang w:bidi="ar"/>
        </w:rPr>
        <w:t>财会〔2012〕21号</w:t>
      </w:r>
      <w:r>
        <w:rPr>
          <w:rFonts w:hint="eastAsia" w:ascii="仿宋_GB2312" w:hAnsi="仿宋" w:eastAsia="仿宋_GB2312" w:cs="仿宋"/>
          <w:color w:val="auto"/>
          <w:kern w:val="0"/>
          <w:sz w:val="32"/>
          <w:szCs w:val="32"/>
          <w:lang w:val="zh-CN" w:bidi="ar"/>
        </w:rPr>
        <w:t>）、</w:t>
      </w:r>
      <w:r>
        <w:rPr>
          <w:rFonts w:hint="eastAsia" w:ascii="仿宋_GB2312" w:hAnsi="仿宋" w:eastAsia="仿宋_GB2312" w:cs="仿宋"/>
          <w:color w:val="auto"/>
          <w:sz w:val="32"/>
          <w:szCs w:val="32"/>
          <w:shd w:val="clear" w:color="auto" w:fill="FFFFFF"/>
          <w:lang w:bidi="ar"/>
        </w:rPr>
        <w:t>《财政部关于全面推进行政事业单位内部控制建设的指导意见》（财会〔2015〕24号）文件精神，</w:t>
      </w:r>
      <w:r>
        <w:rPr>
          <w:rFonts w:hint="eastAsia" w:ascii="仿宋_GB2312" w:hAnsi="仿宋" w:eastAsia="仿宋_GB2312" w:cs="仿宋"/>
          <w:color w:val="auto"/>
          <w:sz w:val="32"/>
          <w:szCs w:val="32"/>
          <w:lang w:bidi="ar"/>
        </w:rPr>
        <w:t>为全面推进我单位内部控制建设，保障内部控制建设的有效性，从而规范我单位内部经济活动和业务活动，强化对内部权力运行的制约，防止内部权力滥用，</w:t>
      </w:r>
      <w:r>
        <w:rPr>
          <w:rFonts w:hint="eastAsia" w:ascii="仿宋_GB2312" w:hAnsi="仿宋" w:eastAsia="仿宋_GB2312" w:cs="仿宋"/>
          <w:color w:val="auto"/>
          <w:kern w:val="0"/>
          <w:sz w:val="32"/>
          <w:szCs w:val="32"/>
          <w:lang w:val="zh-CN" w:bidi="ar"/>
        </w:rPr>
        <w:t>促进</w:t>
      </w:r>
      <w:r>
        <w:rPr>
          <w:rFonts w:hint="eastAsia" w:ascii="仿宋_GB2312" w:hAnsi="仿宋" w:eastAsia="仿宋_GB2312" w:cs="仿宋"/>
          <w:color w:val="auto"/>
          <w:sz w:val="32"/>
          <w:szCs w:val="32"/>
          <w:shd w:val="clear" w:color="auto" w:fill="FFFFFF"/>
          <w:lang w:bidi="ar"/>
        </w:rPr>
        <w:t>廉政风险防控机制建设，结合我单位实际情况，制定本方案。</w:t>
      </w:r>
    </w:p>
    <w:p>
      <w:pPr>
        <w:pStyle w:val="8"/>
        <w:numPr>
          <w:ilvl w:val="0"/>
          <w:numId w:val="1"/>
        </w:numPr>
        <w:spacing w:line="560" w:lineRule="exact"/>
        <w:ind w:firstLineChars="0"/>
        <w:jc w:val="left"/>
        <w:rPr>
          <w:rFonts w:ascii="黑体" w:hAnsi="黑体" w:eastAsia="黑体" w:cs="仿宋"/>
          <w:b/>
          <w:bCs/>
          <w:color w:val="auto"/>
          <w:sz w:val="32"/>
          <w:szCs w:val="32"/>
          <w:shd w:val="clear" w:color="auto" w:fill="FFFFFF"/>
          <w:lang w:bidi="ar"/>
        </w:rPr>
      </w:pPr>
      <w:r>
        <w:rPr>
          <w:rFonts w:hint="eastAsia" w:ascii="黑体" w:hAnsi="黑体" w:eastAsia="黑体" w:cs="仿宋"/>
          <w:b/>
          <w:bCs/>
          <w:color w:val="auto"/>
          <w:sz w:val="32"/>
          <w:szCs w:val="32"/>
          <w:shd w:val="clear" w:color="auto" w:fill="FFFFFF"/>
          <w:lang w:bidi="ar"/>
        </w:rPr>
        <w:t>考评目的：</w:t>
      </w:r>
    </w:p>
    <w:p>
      <w:pPr>
        <w:ind w:firstLine="640" w:firstLineChars="200"/>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通过对内部控制建设进行考核评价，评估相关控制设计的有效性，确认设计是否被实施，查找内部控制设计和实际运行方面存在的问题，加强单位内部控制管理，提高内部控制水平，确保内部控制制度的制定和运行更加规范有效，从而达到风险预防和控制的目标。</w:t>
      </w:r>
    </w:p>
    <w:p>
      <w:pPr>
        <w:pStyle w:val="8"/>
        <w:numPr>
          <w:ilvl w:val="0"/>
          <w:numId w:val="1"/>
        </w:numPr>
        <w:spacing w:line="560" w:lineRule="exact"/>
        <w:ind w:firstLineChars="0"/>
        <w:jc w:val="left"/>
        <w:rPr>
          <w:rFonts w:ascii="黑体" w:hAnsi="黑体" w:eastAsia="黑体" w:cs="仿宋"/>
          <w:b/>
          <w:bCs/>
          <w:color w:val="auto"/>
          <w:sz w:val="32"/>
          <w:szCs w:val="32"/>
          <w:shd w:val="clear" w:color="auto" w:fill="FFFFFF"/>
          <w:lang w:bidi="ar"/>
        </w:rPr>
      </w:pPr>
      <w:r>
        <w:rPr>
          <w:rFonts w:hint="eastAsia" w:ascii="黑体" w:hAnsi="黑体" w:eastAsia="黑体" w:cs="仿宋"/>
          <w:b/>
          <w:bCs/>
          <w:color w:val="auto"/>
          <w:sz w:val="32"/>
          <w:szCs w:val="32"/>
          <w:shd w:val="clear" w:color="auto" w:fill="FFFFFF"/>
          <w:lang w:bidi="ar"/>
        </w:rPr>
        <w:t>考评的范围</w:t>
      </w:r>
    </w:p>
    <w:p>
      <w:pPr>
        <w:ind w:firstLine="640" w:firstLineChars="200"/>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单位层面：组织架构、运行机制、关键岗位、风险评估、信息系统；</w:t>
      </w:r>
    </w:p>
    <w:p>
      <w:pPr>
        <w:ind w:firstLine="640" w:firstLineChars="200"/>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业务层面：预算管理、收支管理、政府采购、资产管理、建设项目、合同管理六大经济活动的各个业务环节。</w:t>
      </w:r>
    </w:p>
    <w:p>
      <w:pPr>
        <w:pStyle w:val="8"/>
        <w:numPr>
          <w:ilvl w:val="0"/>
          <w:numId w:val="1"/>
        </w:numPr>
        <w:spacing w:line="560" w:lineRule="exact"/>
        <w:ind w:firstLineChars="0"/>
        <w:jc w:val="left"/>
        <w:rPr>
          <w:rFonts w:ascii="黑体" w:hAnsi="黑体" w:eastAsia="黑体" w:cs="仿宋"/>
          <w:b/>
          <w:bCs/>
          <w:color w:val="auto"/>
          <w:sz w:val="32"/>
          <w:szCs w:val="32"/>
          <w:shd w:val="clear" w:color="auto" w:fill="FFFFFF"/>
          <w:lang w:bidi="ar"/>
        </w:rPr>
      </w:pPr>
      <w:r>
        <w:rPr>
          <w:rFonts w:hint="eastAsia" w:ascii="黑体" w:hAnsi="黑体" w:eastAsia="黑体" w:cs="仿宋"/>
          <w:b/>
          <w:bCs/>
          <w:color w:val="auto"/>
          <w:sz w:val="32"/>
          <w:szCs w:val="32"/>
          <w:shd w:val="clear" w:color="auto" w:fill="FFFFFF"/>
          <w:lang w:bidi="ar"/>
        </w:rPr>
        <w:t>考评的内容</w:t>
      </w:r>
    </w:p>
    <w:p>
      <w:pPr>
        <w:spacing w:line="500" w:lineRule="exact"/>
        <w:ind w:firstLine="640" w:firstLineChars="200"/>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根据内部控制建设及实际运行情况，对单位层面内部控制监督检查内容包括：</w:t>
      </w:r>
    </w:p>
    <w:p>
      <w:pPr>
        <w:spacing w:line="50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（一）单位经济活动的决策、执行和监督是否有效分离；权责是否对等；议事决策机制是否建立情况；重大经济事项的认定标准是否确定且一贯执行。</w:t>
      </w:r>
    </w:p>
    <w:p>
      <w:pPr>
        <w:spacing w:line="50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（二）内部管理制度是否符合国家有关规定尤其是国家明确的标准、范围和程序；内部管理制度是否符合本单位实际情况。</w:t>
      </w:r>
    </w:p>
    <w:p>
      <w:pPr>
        <w:spacing w:line="50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（三）授权审批的权限范围、审批程序和相关责任是否明确； 授权审批手续是否健全；是否存在未经授权审批办理业务的情况，是否存在越权审批、随意审批情况。</w:t>
      </w:r>
    </w:p>
    <w:p>
      <w:pPr>
        <w:spacing w:line="50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（四）岗位责任制是否建立并得到落实；关键岗位轮岗制度是否建立或采取了替代措施，是否存在不相容岗位混岗的情况。</w:t>
      </w:r>
    </w:p>
    <w:p>
      <w:pPr>
        <w:spacing w:line="50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（五）内部控制关键岗位工作人员是否具备与其工作岗位相适应的资格和能力。</w:t>
      </w:r>
    </w:p>
    <w:p>
      <w:pPr>
        <w:spacing w:line="56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（六）现代科学技术手段的运用和管理情况等。</w:t>
      </w:r>
    </w:p>
    <w:p>
      <w:pPr>
        <w:spacing w:line="56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对业务层面内部控制监督检查内容包括：</w:t>
      </w:r>
    </w:p>
    <w:p>
      <w:pPr>
        <w:numPr>
          <w:ilvl w:val="0"/>
          <w:numId w:val="2"/>
        </w:numPr>
        <w:spacing w:line="56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预算业务重点检查：预算是否实施归口管理并得到有效执行；部门三年规划管理、年度预算编制、预算内部分解下达、预算执行与分析、预算调整、决算管理、预算绩效评价、预决算信息公开管理等业务环节制度和流程设计是否完善、有效，是否全部执行。</w:t>
      </w:r>
    </w:p>
    <w:p>
      <w:pPr>
        <w:numPr>
          <w:ilvl w:val="0"/>
          <w:numId w:val="2"/>
        </w:numPr>
        <w:spacing w:line="56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收支业务重点检查：收支是否实施归口管理并得到有效执行；收入管理、支出申请管理、资金支付管理、支付管理、票据管理、公务卡管理、银行账户管理、财务印章管理、收入及支出分析管理、会计档案管理等业务环节制度和流程设计是否完善、有效，是否全部执行。</w:t>
      </w:r>
    </w:p>
    <w:p>
      <w:pPr>
        <w:numPr>
          <w:ilvl w:val="0"/>
          <w:numId w:val="2"/>
        </w:numPr>
        <w:spacing w:line="56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政府采购业务重点检查：政府采购活动是否实施归口管理并得到有效执行；采购预算管理、采购实施计划备案管理、采购需求论证管理、采购计划管理、采购方式变更管理、采购组织形式管理、采购方式管理、采购合同管理、采购履约验收与结算管理、采购质疑答复与投诉管理、政府采购档案管理等业务环节制度和流程设计是否完善、有效，是否全部执行。</w:t>
      </w:r>
    </w:p>
    <w:p>
      <w:pPr>
        <w:spacing w:line="56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四）资产管理：资产管理是否实施归口管理并得到有效执行；国有资产配置管理、自产自用管理、资产对外有偿使用、资产处置管理、国有资产调有偿使用管理、国有资产报损、报废管理国有资产产权管理、国有资产评估与清查核实、国有资产年度报告管理等业务环节制度和流程设计是否完善、有效，是否全部执行。</w:t>
      </w:r>
    </w:p>
    <w:p>
      <w:pPr>
        <w:spacing w:line="56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五）建设项目管理重点检查：建设项目是否实施归口管理并得到有效执行；立项管理、概预算管理、招投标管理、工程建设管理、建设项目竣工验收与（结算）决算管理、资金与财务管理、档案管理等业务环节制度和流程设计是否完善、有效，是否全部执行。</w:t>
      </w:r>
    </w:p>
    <w:p>
      <w:pPr>
        <w:spacing w:line="56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（六）合同管理重点检查：合同是否实施归口管理并得到有效执行；合同订立管理、合同的履行与结算、合同纠纷调处管理、合同归档管理等业务环节制度和流程设计是否完善、有效，是否全部执行。</w:t>
      </w:r>
    </w:p>
    <w:p>
      <w:pPr>
        <w:jc w:val="left"/>
        <w:rPr>
          <w:rFonts w:ascii="仿宋_GB2312" w:hAnsi="仿宋" w:eastAsia="仿宋_GB2312" w:cs="仿宋"/>
          <w:b/>
          <w:bCs/>
          <w:color w:val="auto"/>
          <w:sz w:val="32"/>
          <w:szCs w:val="32"/>
          <w:shd w:val="clear" w:color="auto" w:fill="FFFFFF"/>
          <w:lang w:bidi="ar"/>
        </w:rPr>
      </w:pPr>
      <w:r>
        <w:rPr>
          <w:rFonts w:hint="eastAsia" w:ascii="黑体" w:hAnsi="黑体" w:eastAsia="黑体" w:cs="仿宋"/>
          <w:b/>
          <w:bCs/>
          <w:color w:val="auto"/>
          <w:sz w:val="32"/>
          <w:szCs w:val="32"/>
          <w:shd w:val="clear" w:color="auto" w:fill="FFFFFF"/>
          <w:lang w:bidi="ar"/>
        </w:rPr>
        <w:t>四、考评组织</w:t>
      </w:r>
    </w:p>
    <w:p>
      <w:pPr>
        <w:spacing w:line="56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由单位内部控制监督与评价小组组织，各部门配合，完成本次考评工作。</w:t>
      </w:r>
    </w:p>
    <w:p>
      <w:pPr>
        <w:spacing w:line="560" w:lineRule="exact"/>
        <w:jc w:val="left"/>
        <w:rPr>
          <w:rFonts w:ascii="仿宋_GB2312" w:hAnsi="仿宋" w:eastAsia="仿宋_GB2312" w:cs="仿宋"/>
          <w:b/>
          <w:bCs/>
          <w:color w:val="auto"/>
          <w:sz w:val="32"/>
          <w:szCs w:val="32"/>
          <w:shd w:val="clear" w:color="auto" w:fill="FFFFFF"/>
          <w:lang w:bidi="ar"/>
        </w:rPr>
      </w:pPr>
      <w:r>
        <w:rPr>
          <w:rFonts w:hint="eastAsia" w:ascii="黑体" w:hAnsi="黑体" w:eastAsia="黑体" w:cs="仿宋"/>
          <w:b/>
          <w:bCs/>
          <w:color w:val="auto"/>
          <w:sz w:val="32"/>
          <w:szCs w:val="32"/>
          <w:shd w:val="clear" w:color="auto" w:fill="FFFFFF"/>
          <w:lang w:bidi="ar"/>
        </w:rPr>
        <w:t>五、考评的基本方法</w:t>
      </w:r>
    </w:p>
    <w:p>
      <w:pPr>
        <w:spacing w:line="50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采用询问、观察、检查等基本方法，抽取相关业务流程典型业务数据，对相关业务流程情况进行考核评价，原则上所抽取样本需具有业务代表性，且须是相关制度与流程考评期间内发生的完整的业务。部分重大、发生频率不高，且相关制度与流程与内控体系化建设之前变动不大的业务，可徇情抽取评价期之前的相关业务数据进行考核评价。</w:t>
      </w:r>
    </w:p>
    <w:p>
      <w:pPr>
        <w:pStyle w:val="8"/>
        <w:spacing w:line="560" w:lineRule="exact"/>
        <w:ind w:firstLine="0" w:firstLineChars="0"/>
        <w:jc w:val="left"/>
        <w:rPr>
          <w:rFonts w:ascii="黑体" w:hAnsi="黑体" w:eastAsia="黑体" w:cs="仿宋"/>
          <w:b/>
          <w:bCs/>
          <w:color w:val="auto"/>
          <w:sz w:val="32"/>
          <w:szCs w:val="32"/>
          <w:shd w:val="clear" w:color="auto" w:fill="FFFFFF"/>
          <w:lang w:bidi="ar"/>
        </w:rPr>
      </w:pPr>
      <w:r>
        <w:rPr>
          <w:rFonts w:hint="eastAsia" w:ascii="黑体" w:hAnsi="黑体" w:eastAsia="黑体" w:cs="仿宋"/>
          <w:b/>
          <w:bCs/>
          <w:color w:val="auto"/>
          <w:sz w:val="32"/>
          <w:szCs w:val="32"/>
          <w:shd w:val="clear" w:color="auto" w:fill="FFFFFF"/>
          <w:lang w:bidi="ar"/>
        </w:rPr>
        <w:t>六、考评的工具</w:t>
      </w:r>
    </w:p>
    <w:p>
      <w:pPr>
        <w:spacing w:line="56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《内部控制考核评价工作底稿》</w:t>
      </w:r>
    </w:p>
    <w:p>
      <w:pPr>
        <w:pStyle w:val="8"/>
        <w:spacing w:line="560" w:lineRule="exact"/>
        <w:ind w:firstLine="0" w:firstLineChars="0"/>
        <w:jc w:val="left"/>
        <w:rPr>
          <w:rFonts w:ascii="黑体" w:hAnsi="黑体" w:eastAsia="黑体" w:cs="仿宋"/>
          <w:b/>
          <w:bCs/>
          <w:color w:val="auto"/>
          <w:sz w:val="32"/>
          <w:szCs w:val="32"/>
          <w:shd w:val="clear" w:color="auto" w:fill="FFFFFF"/>
          <w:lang w:bidi="ar"/>
        </w:rPr>
      </w:pPr>
      <w:r>
        <w:rPr>
          <w:rFonts w:hint="eastAsia" w:ascii="黑体" w:hAnsi="黑体" w:eastAsia="黑体" w:cs="仿宋"/>
          <w:b/>
          <w:bCs/>
          <w:color w:val="auto"/>
          <w:sz w:val="32"/>
          <w:szCs w:val="32"/>
          <w:shd w:val="clear" w:color="auto" w:fill="FFFFFF"/>
          <w:lang w:bidi="ar"/>
        </w:rPr>
        <w:t>七、考评的依据</w:t>
      </w:r>
    </w:p>
    <w:p>
      <w:pPr>
        <w:spacing w:line="500" w:lineRule="exact"/>
        <w:ind w:firstLine="640" w:firstLineChars="200"/>
        <w:jc w:val="left"/>
        <w:rPr>
          <w:rFonts w:ascii="仿宋_GB2312" w:hAnsi="仿宋" w:eastAsia="仿宋_GB2312" w:cs="仿宋"/>
          <w:color w:val="auto"/>
          <w:kern w:val="0"/>
          <w:sz w:val="32"/>
          <w:szCs w:val="32"/>
          <w:lang w:val="zh-CN" w:bidi="ar"/>
        </w:rPr>
      </w:pPr>
      <w:r>
        <w:rPr>
          <w:rFonts w:hint="eastAsia" w:ascii="仿宋_GB2312" w:hAnsi="仿宋" w:eastAsia="仿宋_GB2312" w:cs="仿宋"/>
          <w:color w:val="auto"/>
          <w:sz w:val="32"/>
          <w:szCs w:val="32"/>
          <w:shd w:val="clear" w:color="auto" w:fill="FFFFFF"/>
          <w:lang w:bidi="ar"/>
        </w:rPr>
        <w:t>（一）《行政事业单位内部控制规范（试行）》</w:t>
      </w:r>
      <w:r>
        <w:rPr>
          <w:rFonts w:hint="eastAsia" w:ascii="仿宋_GB2312" w:hAnsi="仿宋" w:eastAsia="仿宋_GB2312" w:cs="仿宋"/>
          <w:color w:val="auto"/>
          <w:kern w:val="0"/>
          <w:sz w:val="32"/>
          <w:szCs w:val="32"/>
          <w:lang w:val="zh-CN" w:bidi="ar"/>
        </w:rPr>
        <w:t>（</w:t>
      </w:r>
      <w:r>
        <w:rPr>
          <w:rFonts w:hint="eastAsia" w:ascii="仿宋_GB2312" w:hAnsi="仿宋" w:eastAsia="仿宋_GB2312" w:cs="仿宋"/>
          <w:color w:val="auto"/>
          <w:sz w:val="32"/>
          <w:szCs w:val="32"/>
          <w:shd w:val="clear" w:color="auto" w:fill="FFFFFF"/>
          <w:lang w:bidi="ar"/>
        </w:rPr>
        <w:t>财会〔2012〕21号</w:t>
      </w:r>
      <w:r>
        <w:rPr>
          <w:rFonts w:hint="eastAsia" w:ascii="仿宋_GB2312" w:hAnsi="仿宋" w:eastAsia="仿宋_GB2312" w:cs="仿宋"/>
          <w:color w:val="auto"/>
          <w:kern w:val="0"/>
          <w:sz w:val="32"/>
          <w:szCs w:val="32"/>
          <w:lang w:val="zh-CN" w:bidi="ar"/>
        </w:rPr>
        <w:t>）</w:t>
      </w:r>
    </w:p>
    <w:p>
      <w:pPr>
        <w:spacing w:line="50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kern w:val="0"/>
          <w:sz w:val="32"/>
          <w:szCs w:val="32"/>
          <w:lang w:val="zh-CN" w:bidi="ar"/>
        </w:rPr>
        <w:t>（</w:t>
      </w:r>
      <w:r>
        <w:rPr>
          <w:rFonts w:hint="eastAsia" w:ascii="仿宋_GB2312" w:hAnsi="仿宋" w:eastAsia="仿宋_GB2312" w:cs="仿宋"/>
          <w:color w:val="auto"/>
          <w:kern w:val="0"/>
          <w:sz w:val="32"/>
          <w:szCs w:val="32"/>
          <w:lang w:bidi="ar"/>
        </w:rPr>
        <w:t>二</w:t>
      </w:r>
      <w:r>
        <w:rPr>
          <w:rFonts w:hint="eastAsia" w:ascii="仿宋_GB2312" w:hAnsi="仿宋" w:eastAsia="仿宋_GB2312" w:cs="仿宋"/>
          <w:color w:val="auto"/>
          <w:kern w:val="0"/>
          <w:sz w:val="32"/>
          <w:szCs w:val="32"/>
          <w:lang w:val="zh-CN" w:bidi="ar"/>
        </w:rPr>
        <w:t>）</w:t>
      </w:r>
      <w:r>
        <w:rPr>
          <w:rFonts w:hint="eastAsia" w:ascii="仿宋_GB2312" w:hAnsi="仿宋" w:eastAsia="仿宋_GB2312" w:cs="仿宋"/>
          <w:color w:val="auto"/>
          <w:sz w:val="32"/>
          <w:szCs w:val="32"/>
          <w:shd w:val="clear" w:color="auto" w:fill="FFFFFF"/>
          <w:lang w:bidi="ar"/>
        </w:rPr>
        <w:t>《财政部关于全面推进行政事业单位内部控制建设的指导意见》（财会〔2015〕24号）</w:t>
      </w:r>
    </w:p>
    <w:p>
      <w:pPr>
        <w:pStyle w:val="8"/>
        <w:spacing w:line="560" w:lineRule="exact"/>
        <w:ind w:firstLine="0" w:firstLineChars="0"/>
        <w:jc w:val="left"/>
        <w:rPr>
          <w:rFonts w:ascii="黑体" w:hAnsi="黑体" w:eastAsia="黑体" w:cs="仿宋"/>
          <w:b/>
          <w:bCs/>
          <w:color w:val="auto"/>
          <w:sz w:val="32"/>
          <w:szCs w:val="32"/>
          <w:shd w:val="clear" w:color="auto" w:fill="FFFFFF"/>
          <w:lang w:bidi="ar"/>
        </w:rPr>
      </w:pPr>
      <w:r>
        <w:rPr>
          <w:rFonts w:hint="eastAsia" w:ascii="黑体" w:hAnsi="黑体" w:eastAsia="黑体" w:cs="仿宋"/>
          <w:b/>
          <w:bCs/>
          <w:color w:val="auto"/>
          <w:sz w:val="32"/>
          <w:szCs w:val="32"/>
          <w:shd w:val="clear" w:color="auto" w:fill="FFFFFF"/>
          <w:lang w:bidi="ar"/>
        </w:rPr>
        <w:t xml:space="preserve">八、考评计划安排及分工 </w:t>
      </w:r>
    </w:p>
    <w:p>
      <w:pPr>
        <w:tabs>
          <w:tab w:val="left" w:pos="312"/>
        </w:tabs>
        <w:spacing w:line="500" w:lineRule="exact"/>
        <w:ind w:left="640"/>
        <w:jc w:val="left"/>
        <w:rPr>
          <w:rFonts w:ascii="楷体_GB2312" w:eastAsia="楷体_GB2312"/>
          <w:color w:val="auto"/>
        </w:rPr>
      </w:pPr>
      <w:r>
        <w:rPr>
          <w:rFonts w:hint="eastAsia" w:ascii="楷体_GB2312" w:hAnsi="仿宋" w:eastAsia="楷体_GB2312" w:cs="仿宋"/>
          <w:color w:val="auto"/>
          <w:sz w:val="32"/>
          <w:szCs w:val="32"/>
          <w:shd w:val="clear" w:color="auto" w:fill="FFFFFF"/>
          <w:lang w:bidi="ar"/>
        </w:rPr>
        <w:t xml:space="preserve">（一）考评计划安排 </w:t>
      </w:r>
    </w:p>
    <w:p>
      <w:pPr>
        <w:spacing w:line="500" w:lineRule="exact"/>
        <w:ind w:firstLine="640" w:firstLineChars="200"/>
        <w:jc w:val="left"/>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本次考核评价计划</w:t>
      </w:r>
      <w:r>
        <w:rPr>
          <w:rFonts w:ascii="仿宋_GB2312" w:hAnsi="仿宋" w:eastAsia="仿宋_GB2312" w:cs="仿宋"/>
          <w:color w:val="auto"/>
          <w:sz w:val="32"/>
          <w:szCs w:val="32"/>
          <w:shd w:val="clear" w:color="auto" w:fill="FFFFFF"/>
          <w:lang w:bidi="ar"/>
        </w:rPr>
        <w:t>4</w:t>
      </w:r>
      <w:r>
        <w:rPr>
          <w:rFonts w:hint="eastAsia" w:ascii="仿宋_GB2312" w:hAnsi="仿宋" w:eastAsia="仿宋_GB2312" w:cs="仿宋"/>
          <w:color w:val="auto"/>
          <w:sz w:val="32"/>
          <w:szCs w:val="32"/>
          <w:shd w:val="clear" w:color="auto" w:fill="FFFFFF"/>
          <w:lang w:bidi="ar"/>
        </w:rPr>
        <w:t>月</w:t>
      </w:r>
      <w:r>
        <w:rPr>
          <w:rFonts w:ascii="仿宋_GB2312" w:hAnsi="仿宋" w:eastAsia="仿宋_GB2312" w:cs="仿宋"/>
          <w:color w:val="auto"/>
          <w:sz w:val="32"/>
          <w:szCs w:val="32"/>
          <w:shd w:val="clear" w:color="auto" w:fill="FFFFFF"/>
          <w:lang w:bidi="ar"/>
        </w:rPr>
        <w:t>8</w:t>
      </w:r>
      <w:r>
        <w:rPr>
          <w:rFonts w:hint="eastAsia" w:ascii="仿宋_GB2312" w:hAnsi="仿宋" w:eastAsia="仿宋_GB2312" w:cs="仿宋"/>
          <w:color w:val="auto"/>
          <w:sz w:val="32"/>
          <w:szCs w:val="32"/>
          <w:shd w:val="clear" w:color="auto" w:fill="FFFFFF"/>
          <w:lang w:bidi="ar"/>
        </w:rPr>
        <w:t>日开始,在1个月之内完成相关的考评工作。</w:t>
      </w:r>
    </w:p>
    <w:p>
      <w:pPr>
        <w:tabs>
          <w:tab w:val="left" w:pos="312"/>
        </w:tabs>
        <w:spacing w:line="500" w:lineRule="exact"/>
        <w:ind w:left="640"/>
        <w:jc w:val="left"/>
        <w:rPr>
          <w:rFonts w:ascii="楷体_GB2312" w:hAnsi="仿宋" w:eastAsia="楷体_GB2312" w:cs="仿宋"/>
          <w:color w:val="auto"/>
          <w:sz w:val="32"/>
          <w:szCs w:val="32"/>
          <w:shd w:val="clear" w:color="auto" w:fill="FFFFFF"/>
          <w:lang w:bidi="ar"/>
        </w:rPr>
      </w:pPr>
      <w:r>
        <w:rPr>
          <w:rFonts w:hint="eastAsia" w:ascii="楷体_GB2312" w:hAnsi="仿宋" w:eastAsia="楷体_GB2312" w:cs="仿宋"/>
          <w:color w:val="auto"/>
          <w:sz w:val="32"/>
          <w:szCs w:val="32"/>
          <w:shd w:val="clear" w:color="auto" w:fill="FFFFFF"/>
          <w:lang w:bidi="ar"/>
        </w:rPr>
        <w:t xml:space="preserve">（二）人员分工 </w:t>
      </w:r>
    </w:p>
    <w:p>
      <w:pPr>
        <w:pStyle w:val="3"/>
        <w:spacing w:line="500" w:lineRule="exact"/>
        <w:ind w:firstLine="640" w:firstLineChars="200"/>
        <w:rPr>
          <w:rFonts w:ascii="仿宋_GB2312" w:hAnsi="仿宋" w:eastAsia="仿宋_GB2312" w:cs="仿宋"/>
          <w:b w:val="0"/>
          <w:color w:val="auto"/>
          <w:sz w:val="32"/>
          <w:szCs w:val="32"/>
          <w:shd w:val="clear" w:color="auto" w:fill="FFFFFF"/>
          <w:lang w:bidi="ar"/>
        </w:rPr>
      </w:pPr>
      <w:r>
        <w:rPr>
          <w:rFonts w:hint="eastAsia" w:ascii="仿宋_GB2312" w:hAnsi="仿宋" w:eastAsia="仿宋_GB2312" w:cs="仿宋"/>
          <w:b w:val="0"/>
          <w:color w:val="auto"/>
          <w:sz w:val="32"/>
          <w:szCs w:val="32"/>
          <w:shd w:val="clear" w:color="auto" w:fill="FFFFFF"/>
          <w:lang w:bidi="ar"/>
        </w:rPr>
        <w:t>考评人员：单位内部控制监督与评价工作小组人员</w:t>
      </w:r>
    </w:p>
    <w:p>
      <w:pPr>
        <w:spacing w:line="500" w:lineRule="exact"/>
        <w:ind w:firstLine="640" w:firstLineChars="200"/>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复核人员：各业务归口部门负责人</w:t>
      </w:r>
    </w:p>
    <w:p>
      <w:pPr>
        <w:spacing w:line="560" w:lineRule="exact"/>
        <w:jc w:val="left"/>
        <w:rPr>
          <w:rFonts w:ascii="黑体" w:hAnsi="黑体" w:eastAsia="黑体" w:cs="仿宋"/>
          <w:b/>
          <w:bCs/>
          <w:color w:val="auto"/>
          <w:sz w:val="32"/>
          <w:szCs w:val="32"/>
          <w:shd w:val="clear" w:color="auto" w:fill="FFFFFF"/>
          <w:lang w:bidi="ar"/>
        </w:rPr>
      </w:pPr>
      <w:r>
        <w:rPr>
          <w:rFonts w:hint="eastAsia" w:ascii="黑体" w:hAnsi="黑体" w:eastAsia="黑体" w:cs="仿宋"/>
          <w:b/>
          <w:bCs/>
          <w:color w:val="auto"/>
          <w:sz w:val="32"/>
          <w:szCs w:val="32"/>
          <w:shd w:val="clear" w:color="auto" w:fill="FFFFFF"/>
          <w:lang w:bidi="ar"/>
        </w:rPr>
        <w:t xml:space="preserve">九、考评报告 </w:t>
      </w:r>
    </w:p>
    <w:p>
      <w:pPr>
        <w:ind w:firstLine="640" w:firstLineChars="200"/>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内部监督工作小组在实施监督检查，分析查找出内部控制存在的缺陷后，应当对内部控制的有效性进行评价，提出内部控制改进意见和建议，出具单位内部控制自我评价报告。</w:t>
      </w:r>
    </w:p>
    <w:p>
      <w:pPr>
        <w:ind w:firstLine="640" w:firstLineChars="200"/>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内部控制评价报告的内容一般应包括：</w:t>
      </w:r>
    </w:p>
    <w:p>
      <w:pPr>
        <w:ind w:firstLine="640" w:firstLineChars="200"/>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（一）内部监督检查和评价的目的、依据、范围、内容、方法、程序、人员构成、实施情况等。</w:t>
      </w:r>
    </w:p>
    <w:p>
      <w:pPr>
        <w:ind w:firstLine="640" w:firstLineChars="200"/>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（二）内部控制建立和执行存在的缺陷和问题及其认定。报告应当对存在问题性质、严重程度、表现形式、认定依据等分别进行说明。</w:t>
      </w:r>
    </w:p>
    <w:p>
      <w:pPr>
        <w:ind w:firstLine="640" w:firstLineChars="200"/>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（三）分析缺陷和问题产生的原因，提出整改意见和建议。建议一般包括：完善制度和流程、明确岗位及职责、建立健全工作机制等。</w:t>
      </w:r>
    </w:p>
    <w:p>
      <w:pPr>
        <w:ind w:firstLine="640" w:firstLineChars="200"/>
        <w:rPr>
          <w:rFonts w:ascii="仿宋_GB2312" w:hAnsi="仿宋" w:eastAsia="仿宋_GB2312" w:cs="仿宋"/>
          <w:color w:val="auto"/>
          <w:sz w:val="32"/>
          <w:szCs w:val="32"/>
          <w:shd w:val="clear" w:color="auto" w:fill="FFFFFF"/>
          <w:lang w:bidi="ar"/>
        </w:rPr>
      </w:pPr>
      <w:r>
        <w:rPr>
          <w:rFonts w:hint="eastAsia" w:ascii="仿宋_GB2312" w:hAnsi="仿宋" w:eastAsia="仿宋_GB2312" w:cs="仿宋"/>
          <w:color w:val="auto"/>
          <w:sz w:val="32"/>
          <w:szCs w:val="32"/>
          <w:shd w:val="clear" w:color="auto" w:fill="FFFFFF"/>
          <w:lang w:bidi="ar"/>
        </w:rPr>
        <w:t>（四）对内部控制建立和执行有效性的总结和评价。评价应当从总体评价、效果评价和缺陷评价三个方面进行。</w:t>
      </w:r>
    </w:p>
    <w:p>
      <w:pPr>
        <w:ind w:firstLine="640" w:firstLineChars="200"/>
        <w:rPr>
          <w:color w:val="auto"/>
        </w:rPr>
      </w:pPr>
      <w:r>
        <w:rPr>
          <w:rFonts w:hint="eastAsia" w:ascii="仿宋_GB2312" w:hAnsi="仿宋" w:eastAsia="仿宋_GB2312" w:cs="仿宋"/>
          <w:color w:val="auto"/>
          <w:sz w:val="32"/>
          <w:szCs w:val="32"/>
          <w:shd w:val="clear" w:color="auto" w:fill="FFFFFF"/>
          <w:lang w:bidi="ar"/>
        </w:rPr>
        <w:t>内部控制评价报告征求意见，最后提交内控领导小组。经内控领导小组批准后，由单位内部控制职能部门依据评价报告制定切实可行的整改方案，组织各相关部门及时整改，内部监督工作小组跟踪其整改落实情况。</w:t>
      </w: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altName w:val="Arial Unicode MS"/>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D43F4A"/>
    <w:multiLevelType w:val="singleLevel"/>
    <w:tmpl w:val="BAD43F4A"/>
    <w:lvl w:ilvl="0" w:tentative="0">
      <w:start w:val="1"/>
      <w:numFmt w:val="chineseCounting"/>
      <w:suff w:val="nothing"/>
      <w:lvlText w:val="（%1）"/>
      <w:lvlJc w:val="left"/>
      <w:rPr>
        <w:rFonts w:hint="eastAsia"/>
      </w:rPr>
    </w:lvl>
  </w:abstractNum>
  <w:abstractNum w:abstractNumId="1">
    <w:nsid w:val="0F8C1298"/>
    <w:multiLevelType w:val="multilevel"/>
    <w:tmpl w:val="0F8C1298"/>
    <w:lvl w:ilvl="0" w:tentative="0">
      <w:start w:val="1"/>
      <w:numFmt w:val="chineseCountingThousand"/>
      <w:lvlText w:val="%1、"/>
      <w:lvlJc w:val="left"/>
      <w:pPr>
        <w:ind w:left="420" w:hanging="420"/>
      </w:pPr>
    </w:lvl>
    <w:lvl w:ilvl="1" w:tentative="0">
      <w:start w:val="6"/>
      <w:numFmt w:val="japaneseCounting"/>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FhNDE5ODdjNGRkYTAzMGNhZTllZDMxYzZmNDRhM2IifQ=="/>
  </w:docVars>
  <w:rsids>
    <w:rsidRoot w:val="6E1F7D88"/>
    <w:rsid w:val="0022483D"/>
    <w:rsid w:val="00231CAA"/>
    <w:rsid w:val="00284346"/>
    <w:rsid w:val="005233F7"/>
    <w:rsid w:val="00BD5E3F"/>
    <w:rsid w:val="00E41C6E"/>
    <w:rsid w:val="00F119E6"/>
    <w:rsid w:val="00F44598"/>
    <w:rsid w:val="14B0486F"/>
    <w:rsid w:val="18453502"/>
    <w:rsid w:val="382133E2"/>
    <w:rsid w:val="4F7078B0"/>
    <w:rsid w:val="6E1F7D88"/>
    <w:rsid w:val="6F6B1BDD"/>
    <w:rsid w:val="797B41FE"/>
    <w:rsid w:val="7B100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9"/>
    <w:pPr>
      <w:keepNext/>
      <w:keepLines/>
      <w:spacing w:line="360" w:lineRule="auto"/>
      <w:jc w:val="left"/>
      <w:outlineLvl w:val="1"/>
    </w:pPr>
    <w:rPr>
      <w:rFonts w:ascii="Arial" w:hAnsi="Arial" w:eastAsia="微软雅黑"/>
      <w:b/>
      <w:sz w:val="28"/>
    </w:rPr>
  </w:style>
  <w:style w:type="paragraph" w:styleId="2">
    <w:name w:val="heading 3"/>
    <w:basedOn w:val="1"/>
    <w:next w:val="1"/>
    <w:qFormat/>
    <w:uiPriority w:val="0"/>
    <w:pPr>
      <w:keepNext/>
      <w:keepLines/>
      <w:jc w:val="center"/>
      <w:outlineLvl w:val="2"/>
    </w:pPr>
    <w:rPr>
      <w:rFonts w:eastAsia="黑体"/>
      <w:b/>
      <w:sz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99"/>
    <w:pPr>
      <w:ind w:firstLine="420" w:firstLineChars="200"/>
    </w:pPr>
  </w:style>
  <w:style w:type="character" w:customStyle="1" w:styleId="9">
    <w:name w:val="font31"/>
    <w:basedOn w:val="7"/>
    <w:qFormat/>
    <w:uiPriority w:val="0"/>
    <w:rPr>
      <w:rFonts w:hint="eastAsia" w:ascii="宋体" w:hAnsi="宋体" w:eastAsia="宋体" w:cs="宋体"/>
      <w:b/>
      <w:color w:val="000000"/>
      <w:sz w:val="24"/>
      <w:szCs w:val="24"/>
      <w:u w:val="none"/>
    </w:rPr>
  </w:style>
  <w:style w:type="character" w:customStyle="1" w:styleId="10">
    <w:name w:val="font11"/>
    <w:basedOn w:val="7"/>
    <w:qFormat/>
    <w:uiPriority w:val="0"/>
    <w:rPr>
      <w:rFonts w:ascii="Arial" w:hAnsi="Arial" w:cs="Arial"/>
      <w:b/>
      <w:color w:val="000000"/>
      <w:sz w:val="24"/>
      <w:szCs w:val="24"/>
      <w:u w:val="none"/>
    </w:rPr>
  </w:style>
  <w:style w:type="character" w:customStyle="1" w:styleId="11">
    <w:name w:val="页眉 Char"/>
    <w:basedOn w:val="7"/>
    <w:link w:val="5"/>
    <w:qFormat/>
    <w:uiPriority w:val="0"/>
    <w:rPr>
      <w:rFonts w:eastAsiaTheme="minorEastAsia" w:cstheme="minorBidi"/>
      <w:kern w:val="2"/>
      <w:sz w:val="18"/>
      <w:szCs w:val="18"/>
    </w:rPr>
  </w:style>
  <w:style w:type="character" w:customStyle="1" w:styleId="12">
    <w:name w:val="页脚 Char"/>
    <w:basedOn w:val="7"/>
    <w:link w:val="4"/>
    <w:qFormat/>
    <w:uiPriority w:val="0"/>
    <w:rPr>
      <w:rFonts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2276</Words>
  <Characters>2293</Characters>
  <Lines>16</Lines>
  <Paragraphs>4</Paragraphs>
  <TotalTime>24</TotalTime>
  <ScaleCrop>false</ScaleCrop>
  <LinksUpToDate>false</LinksUpToDate>
  <CharactersWithSpaces>2298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2019-09-05T12:06:00Z</dcterms:created>
  <dc:creator>New  Moon</dc:creator>
  <cp:lastModifiedBy>6 0</cp:lastModifiedBy>
  <dcterms:modified xsi:type="dcterms:W3CDTF">2022-05-12T02:03:00Z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657D35588C7E4309BD16E4765A206C17</vt:lpwstr>
  </property>
</Properties>
</file>